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F2E" w:rsidRDefault="00C34F2E" w:rsidP="00C34F2E"/>
    <w:p w:rsidR="00C34F2E" w:rsidRPr="00E1712B" w:rsidRDefault="00C34F2E" w:rsidP="00C34F2E">
      <w:pPr>
        <w:rPr>
          <w:rFonts w:asciiTheme="majorBidi" w:hAnsiTheme="majorBidi" w:cstheme="majorBidi"/>
          <w:sz w:val="32"/>
          <w:szCs w:val="32"/>
        </w:rPr>
      </w:pPr>
      <w:r w:rsidRPr="00E1712B">
        <w:rPr>
          <w:rFonts w:asciiTheme="majorBidi" w:hAnsiTheme="majorBidi" w:cstheme="majorBidi"/>
          <w:sz w:val="32"/>
          <w:szCs w:val="32"/>
        </w:rPr>
        <w:t>Les Amétropies (troubles réfractifs)</w:t>
      </w:r>
    </w:p>
    <w:p w:rsidR="00C34F2E" w:rsidRPr="00E1712B" w:rsidRDefault="00C34F2E" w:rsidP="00C34F2E">
      <w:pPr>
        <w:rPr>
          <w:rFonts w:asciiTheme="majorBidi" w:hAnsiTheme="majorBidi" w:cstheme="majorBidi"/>
          <w:sz w:val="32"/>
          <w:szCs w:val="32"/>
        </w:rPr>
      </w:pPr>
    </w:p>
    <w:tbl>
      <w:tblPr>
        <w:tblW w:w="10632" w:type="dxa"/>
        <w:tblCellSpacing w:w="0" w:type="dxa"/>
        <w:shd w:val="clear" w:color="auto" w:fill="FFFFFF" w:themeFill="background1"/>
        <w:tblCellMar>
          <w:left w:w="0" w:type="dxa"/>
          <w:right w:w="0" w:type="dxa"/>
        </w:tblCellMar>
        <w:tblLook w:val="04A0" w:firstRow="1" w:lastRow="0" w:firstColumn="1" w:lastColumn="0" w:noHBand="0" w:noVBand="1"/>
      </w:tblPr>
      <w:tblGrid>
        <w:gridCol w:w="300"/>
        <w:gridCol w:w="10332"/>
      </w:tblGrid>
      <w:tr w:rsidR="00C34F2E" w:rsidRPr="00E1712B" w:rsidTr="00E1712B">
        <w:trPr>
          <w:tblCellSpacing w:w="0" w:type="dxa"/>
        </w:trPr>
        <w:tc>
          <w:tcPr>
            <w:tcW w:w="300" w:type="dxa"/>
            <w:shd w:val="clear" w:color="auto" w:fill="FFFFFF" w:themeFill="background1"/>
            <w:vAlign w:val="center"/>
            <w:hideMark/>
          </w:tcPr>
          <w:p w:rsidR="00C34F2E" w:rsidRPr="00E1712B" w:rsidRDefault="00C34F2E">
            <w:pPr>
              <w:pStyle w:val="NormalWeb"/>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pStyle w:val="NormalWeb"/>
              <w:rPr>
                <w:rFonts w:asciiTheme="majorBidi" w:hAnsiTheme="majorBidi" w:cstheme="majorBidi"/>
                <w:color w:val="000000" w:themeColor="text1"/>
                <w:sz w:val="22"/>
                <w:szCs w:val="22"/>
              </w:rPr>
            </w:pPr>
            <w:r w:rsidRPr="00E1712B">
              <w:rPr>
                <w:rStyle w:val="lev"/>
                <w:rFonts w:asciiTheme="majorBidi" w:hAnsiTheme="majorBidi" w:cstheme="majorBidi"/>
                <w:color w:val="000000" w:themeColor="text1"/>
                <w:sz w:val="22"/>
                <w:szCs w:val="22"/>
              </w:rPr>
              <w:t xml:space="preserve">Les « défauts </w:t>
            </w:r>
            <w:r w:rsidRPr="00E1712B">
              <w:rPr>
                <w:rStyle w:val="lev"/>
                <w:rFonts w:asciiTheme="majorBidi" w:hAnsiTheme="majorBidi" w:cstheme="majorBidi"/>
                <w:color w:val="000000" w:themeColor="text1"/>
                <w:sz w:val="22"/>
                <w:szCs w:val="22"/>
              </w:rPr>
              <w:t>» de l'œil</w:t>
            </w:r>
          </w:p>
          <w:p w:rsidR="00C34F2E" w:rsidRPr="00E1712B" w:rsidRDefault="00C34F2E">
            <w:pPr>
              <w:pStyle w:val="NormalWeb"/>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xml:space="preserve">Un œil souffrant d'anomalies optiques est un </w:t>
            </w:r>
            <w:proofErr w:type="spellStart"/>
            <w:r w:rsidRPr="00E1712B">
              <w:rPr>
                <w:rFonts w:asciiTheme="majorBidi" w:hAnsiTheme="majorBidi" w:cstheme="majorBidi"/>
                <w:color w:val="000000" w:themeColor="text1"/>
                <w:sz w:val="22"/>
                <w:szCs w:val="22"/>
              </w:rPr>
              <w:t>oeil</w:t>
            </w:r>
            <w:proofErr w:type="spellEnd"/>
            <w:r w:rsidRPr="00E1712B">
              <w:rPr>
                <w:rFonts w:asciiTheme="majorBidi" w:hAnsiTheme="majorBidi" w:cstheme="majorBidi"/>
                <w:color w:val="000000" w:themeColor="text1"/>
                <w:sz w:val="22"/>
                <w:szCs w:val="22"/>
              </w:rPr>
              <w:t xml:space="preserve"> sain, mais la vision est troublée par le fait que l'image n'est pas focalisée sur la rétine mais en avant (myopie), en arrière (hypermétropie) ou encore parce que l'image est déformée (astigmatisme). Il y a 3 types d'anomalies optiques :</w:t>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w:t>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pStyle w:val="NormalWeb"/>
              <w:rPr>
                <w:rFonts w:asciiTheme="majorBidi" w:hAnsiTheme="majorBidi" w:cstheme="majorBidi"/>
                <w:color w:val="000000" w:themeColor="text1"/>
                <w:sz w:val="22"/>
                <w:szCs w:val="22"/>
              </w:rPr>
            </w:pPr>
            <w:r w:rsidRPr="00E1712B">
              <w:rPr>
                <w:rFonts w:asciiTheme="majorBidi" w:hAnsiTheme="majorBidi" w:cstheme="majorBidi"/>
                <w:noProof/>
                <w:color w:val="000000" w:themeColor="text1"/>
                <w:sz w:val="22"/>
                <w:szCs w:val="22"/>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2257425" cy="1609725"/>
                  <wp:effectExtent l="0" t="0" r="9525" b="0"/>
                  <wp:wrapSquare wrapText="bothSides"/>
                  <wp:docPr id="3" name="Image 3" descr="http://www.visionclinic.be/fr/pics/illus/fehlsichtig_kur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sionclinic.be/fr/pics/illus/fehlsichtig_kurz.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12B">
              <w:rPr>
                <w:rStyle w:val="lev"/>
                <w:rFonts w:asciiTheme="majorBidi" w:hAnsiTheme="majorBidi" w:cstheme="majorBidi"/>
                <w:color w:val="000000" w:themeColor="text1"/>
                <w:sz w:val="22"/>
                <w:szCs w:val="22"/>
              </w:rPr>
              <w:t>1) La myopie</w:t>
            </w:r>
          </w:p>
          <w:p w:rsidR="00C34F2E" w:rsidRPr="00E1712B" w:rsidRDefault="00C34F2E" w:rsidP="00C34F2E">
            <w:pPr>
              <w:pStyle w:val="NormalWeb"/>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Il s'agit de l'anomalie optique la plus courante. L'œil myope est celui dont le globe oculaire est trop long. L'image d'un objet vu par un œil myope se forme en avant de la rétine. La vision rapprochée est nette, celle lointaine est floue.</w:t>
            </w:r>
            <w:r w:rsidRPr="00E1712B">
              <w:rPr>
                <w:rFonts w:asciiTheme="majorBidi" w:hAnsiTheme="majorBidi" w:cstheme="majorBidi"/>
                <w:color w:val="000000" w:themeColor="text1"/>
                <w:sz w:val="22"/>
                <w:szCs w:val="22"/>
              </w:rPr>
              <w:br/>
            </w:r>
            <w:r w:rsidRPr="00E1712B">
              <w:rPr>
                <w:rFonts w:asciiTheme="majorBidi" w:hAnsiTheme="majorBidi" w:cstheme="majorBidi"/>
                <w:color w:val="000000" w:themeColor="text1"/>
                <w:sz w:val="22"/>
                <w:szCs w:val="22"/>
              </w:rPr>
              <w:br/>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w:t>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pStyle w:val="NormalWeb"/>
              <w:rPr>
                <w:rFonts w:asciiTheme="majorBidi" w:hAnsiTheme="majorBidi" w:cstheme="majorBidi"/>
                <w:color w:val="000000" w:themeColor="text1"/>
                <w:sz w:val="22"/>
                <w:szCs w:val="22"/>
              </w:rPr>
            </w:pPr>
            <w:r w:rsidRPr="00E1712B">
              <w:rPr>
                <w:rFonts w:asciiTheme="majorBidi" w:hAnsiTheme="majorBidi" w:cstheme="majorBidi"/>
                <w:noProof/>
                <w:color w:val="000000" w:themeColor="text1"/>
                <w:sz w:val="22"/>
                <w:szCs w:val="22"/>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2257425" cy="1609725"/>
                  <wp:effectExtent l="0" t="0" r="9525" b="0"/>
                  <wp:wrapSquare wrapText="bothSides"/>
                  <wp:docPr id="2" name="Image 2" descr="http://www.visionclinic.be/fr/pics/illus/fehlsichtig_we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isionclinic.be/fr/pics/illus/fehlsichtig_wei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12B">
              <w:rPr>
                <w:rStyle w:val="lev"/>
                <w:rFonts w:asciiTheme="majorBidi" w:hAnsiTheme="majorBidi" w:cstheme="majorBidi"/>
                <w:color w:val="000000" w:themeColor="text1"/>
                <w:sz w:val="22"/>
                <w:szCs w:val="22"/>
              </w:rPr>
              <w:t>2) L'hypermétropie</w:t>
            </w:r>
          </w:p>
          <w:p w:rsidR="00C34F2E" w:rsidRPr="00E1712B" w:rsidRDefault="00C34F2E" w:rsidP="00C34F2E">
            <w:pPr>
              <w:pStyle w:val="NormalWeb"/>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C'est l'inverse de la myopie. Le globe oculaire n'est pas assez long. L'image d'un objet vu par un œil hypermétrope se forme en arrière de la rétine. La vision, rapprochée et lointaine est floue.</w:t>
            </w:r>
            <w:r w:rsidRPr="00E1712B">
              <w:rPr>
                <w:rFonts w:asciiTheme="majorBidi" w:hAnsiTheme="majorBidi" w:cstheme="majorBidi"/>
                <w:color w:val="000000" w:themeColor="text1"/>
                <w:sz w:val="22"/>
                <w:szCs w:val="22"/>
              </w:rPr>
              <w:br/>
            </w:r>
            <w:r w:rsidRPr="00E1712B">
              <w:rPr>
                <w:rFonts w:asciiTheme="majorBidi" w:hAnsiTheme="majorBidi" w:cstheme="majorBidi"/>
                <w:color w:val="000000" w:themeColor="text1"/>
                <w:sz w:val="22"/>
                <w:szCs w:val="22"/>
              </w:rPr>
              <w:br/>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w:t>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pStyle w:val="NormalWeb"/>
              <w:rPr>
                <w:rFonts w:asciiTheme="majorBidi" w:hAnsiTheme="majorBidi" w:cstheme="majorBidi"/>
                <w:color w:val="000000" w:themeColor="text1"/>
                <w:sz w:val="22"/>
                <w:szCs w:val="22"/>
              </w:rPr>
            </w:pPr>
            <w:r w:rsidRPr="00E1712B">
              <w:rPr>
                <w:rFonts w:asciiTheme="majorBidi" w:hAnsiTheme="majorBidi" w:cstheme="majorBidi"/>
                <w:noProof/>
                <w:color w:val="000000" w:themeColor="text1"/>
                <w:sz w:val="22"/>
                <w:szCs w:val="22"/>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2257425" cy="1609725"/>
                  <wp:effectExtent l="0" t="0" r="9525" b="0"/>
                  <wp:wrapSquare wrapText="bothSides"/>
                  <wp:docPr id="1" name="Image 1" descr="http://www.visionclinic.be/fr/pics/illus/fehlsichtig_hornhaut_verkruemmu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isionclinic.be/fr/pics/illus/fehlsichtig_hornhaut_verkruemmung.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12B">
              <w:rPr>
                <w:rStyle w:val="lev"/>
                <w:rFonts w:asciiTheme="majorBidi" w:hAnsiTheme="majorBidi" w:cstheme="majorBidi"/>
                <w:color w:val="000000" w:themeColor="text1"/>
                <w:sz w:val="22"/>
                <w:szCs w:val="22"/>
              </w:rPr>
              <w:t>3) L'astigmatisme</w:t>
            </w:r>
          </w:p>
          <w:p w:rsidR="00C34F2E" w:rsidRPr="00E1712B" w:rsidRDefault="00C34F2E" w:rsidP="00C34F2E">
            <w:pPr>
              <w:pStyle w:val="NormalWeb"/>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xml:space="preserve">La cornée est </w:t>
            </w:r>
            <w:r w:rsidRPr="00E1712B">
              <w:rPr>
                <w:rFonts w:asciiTheme="majorBidi" w:hAnsiTheme="majorBidi" w:cstheme="majorBidi"/>
                <w:color w:val="000000" w:themeColor="text1"/>
                <w:sz w:val="22"/>
                <w:szCs w:val="22"/>
              </w:rPr>
              <w:t>plus courbée dans un axe que dans un autre</w:t>
            </w:r>
            <w:r w:rsidRPr="00E1712B">
              <w:rPr>
                <w:rFonts w:asciiTheme="majorBidi" w:hAnsiTheme="majorBidi" w:cstheme="majorBidi"/>
                <w:color w:val="000000" w:themeColor="text1"/>
                <w:sz w:val="22"/>
                <w:szCs w:val="22"/>
              </w:rPr>
              <w:t xml:space="preserve"> au lieu d'être ronde. Il est impossible de focaliser des images, car certaines lignes (p.ex. verticales) sont nettes et d'autres (p.ex. horizontales) sont floues. L'œil astigmate voit donc plus distinctement dans une direction que dans l'autre.</w:t>
            </w:r>
            <w:r w:rsidRPr="00E1712B">
              <w:rPr>
                <w:rFonts w:asciiTheme="majorBidi" w:hAnsiTheme="majorBidi" w:cstheme="majorBidi"/>
                <w:color w:val="000000" w:themeColor="text1"/>
                <w:sz w:val="22"/>
                <w:szCs w:val="22"/>
              </w:rPr>
              <w:t xml:space="preserve"> Peut se combiner avec la myopie ou l’hypermétropie. </w:t>
            </w:r>
            <w:r w:rsidRPr="00E1712B">
              <w:rPr>
                <w:rFonts w:asciiTheme="majorBidi" w:hAnsiTheme="majorBidi" w:cstheme="majorBidi"/>
                <w:color w:val="000000" w:themeColor="text1"/>
                <w:sz w:val="22"/>
                <w:szCs w:val="22"/>
              </w:rPr>
              <w:br/>
            </w:r>
            <w:r w:rsidRPr="00E1712B">
              <w:rPr>
                <w:rFonts w:asciiTheme="majorBidi" w:hAnsiTheme="majorBidi" w:cstheme="majorBidi"/>
                <w:color w:val="000000" w:themeColor="text1"/>
                <w:sz w:val="22"/>
                <w:szCs w:val="22"/>
              </w:rPr>
              <w:br/>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w:t>
            </w:r>
          </w:p>
        </w:tc>
      </w:tr>
      <w:tr w:rsidR="00C34F2E" w:rsidRPr="00E1712B" w:rsidTr="00E1712B">
        <w:trPr>
          <w:tblCellSpacing w:w="0" w:type="dxa"/>
        </w:trPr>
        <w:tc>
          <w:tcPr>
            <w:tcW w:w="0" w:type="auto"/>
            <w:shd w:val="clear" w:color="auto" w:fill="FFFFFF" w:themeFill="background1"/>
            <w:vAlign w:val="center"/>
            <w:hideMark/>
          </w:tcPr>
          <w:p w:rsidR="00C34F2E" w:rsidRPr="00E1712B" w:rsidRDefault="00C34F2E">
            <w:pPr>
              <w:rPr>
                <w:rFonts w:asciiTheme="majorBidi" w:hAnsiTheme="majorBidi" w:cstheme="majorBidi"/>
                <w:color w:val="FFFFFF" w:themeColor="background1"/>
                <w:sz w:val="22"/>
                <w:szCs w:val="22"/>
              </w:rPr>
            </w:pPr>
            <w:r w:rsidRPr="00E1712B">
              <w:rPr>
                <w:rFonts w:asciiTheme="majorBidi" w:hAnsiTheme="majorBidi" w:cstheme="majorBidi"/>
                <w:color w:val="FFFFFF" w:themeColor="background1"/>
                <w:sz w:val="22"/>
                <w:szCs w:val="22"/>
              </w:rPr>
              <w:t> </w:t>
            </w:r>
          </w:p>
        </w:tc>
        <w:tc>
          <w:tcPr>
            <w:tcW w:w="10332" w:type="dxa"/>
            <w:shd w:val="clear" w:color="auto" w:fill="FFFFFF" w:themeFill="background1"/>
            <w:vAlign w:val="center"/>
            <w:hideMark/>
          </w:tcPr>
          <w:p w:rsidR="00C34F2E" w:rsidRPr="00E1712B" w:rsidRDefault="00C34F2E">
            <w:pPr>
              <w:pStyle w:val="NormalWeb"/>
              <w:rPr>
                <w:rStyle w:val="lev"/>
                <w:rFonts w:asciiTheme="majorBidi" w:hAnsiTheme="majorBidi" w:cstheme="majorBidi"/>
                <w:color w:val="000000" w:themeColor="text1"/>
                <w:sz w:val="22"/>
                <w:szCs w:val="22"/>
              </w:rPr>
            </w:pPr>
            <w:r w:rsidRPr="00E1712B">
              <w:rPr>
                <w:rStyle w:val="lev"/>
                <w:rFonts w:asciiTheme="majorBidi" w:hAnsiTheme="majorBidi" w:cstheme="majorBidi"/>
                <w:color w:val="000000" w:themeColor="text1"/>
                <w:sz w:val="22"/>
                <w:szCs w:val="22"/>
              </w:rPr>
              <w:t xml:space="preserve">4) La presbytie ou </w:t>
            </w:r>
            <w:proofErr w:type="spellStart"/>
            <w:r w:rsidRPr="00E1712B">
              <w:rPr>
                <w:rStyle w:val="lev"/>
                <w:rFonts w:asciiTheme="majorBidi" w:hAnsiTheme="majorBidi" w:cstheme="majorBidi"/>
                <w:color w:val="000000" w:themeColor="text1"/>
                <w:sz w:val="22"/>
                <w:szCs w:val="22"/>
              </w:rPr>
              <w:t>presbyopie</w:t>
            </w:r>
            <w:proofErr w:type="spellEnd"/>
            <w:r w:rsidRPr="00E1712B">
              <w:rPr>
                <w:rStyle w:val="lev"/>
                <w:rFonts w:asciiTheme="majorBidi" w:hAnsiTheme="majorBidi" w:cstheme="majorBidi"/>
                <w:color w:val="000000" w:themeColor="text1"/>
                <w:sz w:val="22"/>
                <w:szCs w:val="22"/>
              </w:rPr>
              <w:t>.</w:t>
            </w:r>
            <w:r w:rsidRPr="00E1712B">
              <w:rPr>
                <w:rStyle w:val="lev"/>
                <w:rFonts w:asciiTheme="majorBidi" w:hAnsiTheme="majorBidi" w:cstheme="majorBidi"/>
                <w:color w:val="000000" w:themeColor="text1"/>
                <w:sz w:val="22"/>
                <w:szCs w:val="22"/>
              </w:rPr>
              <w:t xml:space="preserve"> </w:t>
            </w:r>
          </w:p>
          <w:p w:rsidR="00C34F2E" w:rsidRPr="00E1712B" w:rsidRDefault="00C34F2E">
            <w:pPr>
              <w:pStyle w:val="NormalWeb"/>
              <w:rPr>
                <w:rStyle w:val="lev"/>
                <w:rFonts w:asciiTheme="majorBidi" w:hAnsiTheme="majorBidi" w:cstheme="majorBidi"/>
                <w:color w:val="000000" w:themeColor="text1"/>
                <w:sz w:val="22"/>
                <w:szCs w:val="22"/>
              </w:rPr>
            </w:pPr>
          </w:p>
          <w:p w:rsidR="00C34F2E" w:rsidRPr="00E1712B" w:rsidRDefault="00C34F2E">
            <w:pPr>
              <w:pStyle w:val="NormalWeb"/>
              <w:rPr>
                <w:rFonts w:asciiTheme="majorBidi" w:hAnsiTheme="majorBidi" w:cstheme="majorBidi"/>
                <w:color w:val="000000" w:themeColor="text1"/>
                <w:sz w:val="22"/>
                <w:szCs w:val="22"/>
              </w:rPr>
            </w:pPr>
            <w:r w:rsidRPr="00E1712B">
              <w:rPr>
                <w:rStyle w:val="lev"/>
                <w:rFonts w:asciiTheme="majorBidi" w:hAnsiTheme="majorBidi" w:cstheme="majorBidi"/>
                <w:color w:val="000000" w:themeColor="text1"/>
                <w:sz w:val="22"/>
                <w:szCs w:val="22"/>
              </w:rPr>
              <w:t xml:space="preserve">A partir de 40 ans chez tous les êtres humains, baisse de vision de près pour la lecture. Peut se combiner donc avec la myopie, l’hypermétropie ou l’astigmatisme à partir de cet </w:t>
            </w:r>
            <w:proofErr w:type="spellStart"/>
            <w:r w:rsidRPr="00E1712B">
              <w:rPr>
                <w:rStyle w:val="lev"/>
                <w:rFonts w:asciiTheme="majorBidi" w:hAnsiTheme="majorBidi" w:cstheme="majorBidi"/>
                <w:color w:val="000000" w:themeColor="text1"/>
                <w:sz w:val="22"/>
                <w:szCs w:val="22"/>
              </w:rPr>
              <w:t>âge là</w:t>
            </w:r>
            <w:proofErr w:type="spellEnd"/>
            <w:r w:rsidRPr="00E1712B">
              <w:rPr>
                <w:rStyle w:val="lev"/>
                <w:rFonts w:asciiTheme="majorBidi" w:hAnsiTheme="majorBidi" w:cstheme="majorBidi"/>
                <w:color w:val="000000" w:themeColor="text1"/>
                <w:sz w:val="22"/>
                <w:szCs w:val="22"/>
              </w:rPr>
              <w:t xml:space="preserve">. </w:t>
            </w:r>
          </w:p>
          <w:p w:rsidR="00C34F2E" w:rsidRPr="00E1712B" w:rsidRDefault="00C34F2E" w:rsidP="00C34F2E">
            <w:pPr>
              <w:pStyle w:val="NormalWeb"/>
              <w:rPr>
                <w:rFonts w:asciiTheme="majorBidi" w:hAnsiTheme="majorBidi" w:cstheme="majorBidi"/>
                <w:color w:val="000000" w:themeColor="text1"/>
                <w:sz w:val="22"/>
                <w:szCs w:val="22"/>
              </w:rPr>
            </w:pPr>
            <w:r w:rsidRPr="00E1712B">
              <w:rPr>
                <w:rFonts w:asciiTheme="majorBidi" w:hAnsiTheme="majorBidi" w:cstheme="majorBidi"/>
                <w:color w:val="000000" w:themeColor="text1"/>
                <w:sz w:val="22"/>
                <w:szCs w:val="22"/>
              </w:rPr>
              <w:t xml:space="preserve">Il s'agit d'une perte d'élasticité du cristallin en raison de la vieillesse. L'œil n'arrive plus à accommoder, c.à.d. à faire un effort de mise au point pour la vision rapprochée. </w:t>
            </w:r>
            <w:r w:rsidRPr="00E1712B">
              <w:rPr>
                <w:rFonts w:asciiTheme="majorBidi" w:hAnsiTheme="majorBidi" w:cstheme="majorBidi"/>
                <w:color w:val="000000" w:themeColor="text1"/>
                <w:sz w:val="22"/>
                <w:szCs w:val="22"/>
              </w:rPr>
              <w:t xml:space="preserve">Les myopes sont avantagés dans la presbytie car certains peuvent retirer leurs lunettes pour voir de </w:t>
            </w:r>
            <w:proofErr w:type="spellStart"/>
            <w:r w:rsidRPr="00E1712B">
              <w:rPr>
                <w:rFonts w:asciiTheme="majorBidi" w:hAnsiTheme="majorBidi" w:cstheme="majorBidi"/>
                <w:color w:val="000000" w:themeColor="text1"/>
                <w:sz w:val="22"/>
                <w:szCs w:val="22"/>
              </w:rPr>
              <w:t>pres</w:t>
            </w:r>
            <w:proofErr w:type="spellEnd"/>
            <w:r w:rsidRPr="00E1712B">
              <w:rPr>
                <w:rFonts w:asciiTheme="majorBidi" w:hAnsiTheme="majorBidi" w:cstheme="majorBidi"/>
                <w:color w:val="000000" w:themeColor="text1"/>
                <w:sz w:val="22"/>
                <w:szCs w:val="22"/>
              </w:rPr>
              <w:t xml:space="preserve">. Dans d’autres cas, les verres progressifs sont indiqués. Les hypermétropes sont désavantagés quand ils deviennent également presbytes, et devront porter des progressifs. </w:t>
            </w:r>
          </w:p>
          <w:p w:rsidR="00C34F2E" w:rsidRPr="00E1712B" w:rsidRDefault="00C34F2E" w:rsidP="00C34F2E">
            <w:pPr>
              <w:pStyle w:val="NormalWeb"/>
              <w:rPr>
                <w:rFonts w:asciiTheme="majorBidi" w:hAnsiTheme="majorBidi" w:cstheme="majorBidi"/>
                <w:color w:val="000000" w:themeColor="text1"/>
                <w:sz w:val="22"/>
                <w:szCs w:val="22"/>
              </w:rPr>
            </w:pPr>
          </w:p>
        </w:tc>
      </w:tr>
    </w:tbl>
    <w:p w:rsidR="00FE4AFC" w:rsidRDefault="00FE4AFC" w:rsidP="00E1712B">
      <w:bookmarkStart w:id="0" w:name="_GoBack"/>
      <w:bookmarkEnd w:id="0"/>
    </w:p>
    <w:sectPr w:rsidR="00FE4AFC" w:rsidSect="00E17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2E"/>
    <w:rsid w:val="00030612"/>
    <w:rsid w:val="003553DB"/>
    <w:rsid w:val="005C3918"/>
    <w:rsid w:val="00637B78"/>
    <w:rsid w:val="006E6722"/>
    <w:rsid w:val="008D6967"/>
    <w:rsid w:val="00B8163B"/>
    <w:rsid w:val="00C201A7"/>
    <w:rsid w:val="00C34F2E"/>
    <w:rsid w:val="00DE7655"/>
    <w:rsid w:val="00E1712B"/>
    <w:rsid w:val="00FE4AFC"/>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0DE4F"/>
  <w15:chartTrackingRefBased/>
  <w15:docId w15:val="{C997F944-6DD0-44CA-A6AE-3E38EB39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34F2E"/>
    <w:pPr>
      <w:spacing w:before="100" w:beforeAutospacing="1" w:after="100" w:afterAutospacing="1"/>
    </w:pPr>
    <w:rPr>
      <w:lang w:eastAsia="fr-BE"/>
    </w:rPr>
  </w:style>
  <w:style w:type="character" w:styleId="lev">
    <w:name w:val="Strong"/>
    <w:basedOn w:val="Policepardfaut"/>
    <w:uiPriority w:val="22"/>
    <w:qFormat/>
    <w:rsid w:val="00C34F2E"/>
    <w:rPr>
      <w:b/>
      <w:bCs/>
    </w:rPr>
  </w:style>
  <w:style w:type="character" w:customStyle="1" w:styleId="apple-converted-space">
    <w:name w:val="apple-converted-space"/>
    <w:basedOn w:val="Policepardfaut"/>
    <w:rsid w:val="00C34F2E"/>
  </w:style>
  <w:style w:type="character" w:styleId="Lienhypertexte">
    <w:name w:val="Hyperlink"/>
    <w:basedOn w:val="Policepardfaut"/>
    <w:uiPriority w:val="99"/>
    <w:unhideWhenUsed/>
    <w:rsid w:val="00C34F2E"/>
    <w:rPr>
      <w:color w:val="0000FF"/>
      <w:u w:val="single"/>
    </w:rPr>
  </w:style>
  <w:style w:type="paragraph" w:styleId="Textedebulles">
    <w:name w:val="Balloon Text"/>
    <w:basedOn w:val="Normal"/>
    <w:link w:val="TextedebullesCar"/>
    <w:rsid w:val="00E1712B"/>
    <w:rPr>
      <w:rFonts w:ascii="Segoe UI" w:hAnsi="Segoe UI" w:cs="Segoe UI"/>
      <w:sz w:val="18"/>
      <w:szCs w:val="18"/>
    </w:rPr>
  </w:style>
  <w:style w:type="character" w:customStyle="1" w:styleId="TextedebullesCar">
    <w:name w:val="Texte de bulles Car"/>
    <w:basedOn w:val="Policepardfaut"/>
    <w:link w:val="Textedebulles"/>
    <w:rsid w:val="00E1712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225791">
      <w:bodyDiv w:val="1"/>
      <w:marLeft w:val="0"/>
      <w:marRight w:val="0"/>
      <w:marTop w:val="0"/>
      <w:marBottom w:val="0"/>
      <w:divBdr>
        <w:top w:val="none" w:sz="0" w:space="0" w:color="auto"/>
        <w:left w:val="none" w:sz="0" w:space="0" w:color="auto"/>
        <w:bottom w:val="none" w:sz="0" w:space="0" w:color="auto"/>
        <w:right w:val="none" w:sz="0" w:space="0" w:color="auto"/>
      </w:divBdr>
      <w:divsChild>
        <w:div w:id="81553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267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764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7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Rahali</dc:creator>
  <cp:keywords/>
  <dc:description/>
  <cp:lastModifiedBy>Dr Rahali</cp:lastModifiedBy>
  <cp:revision>2</cp:revision>
  <cp:lastPrinted>2017-03-04T09:46:00Z</cp:lastPrinted>
  <dcterms:created xsi:type="dcterms:W3CDTF">2017-03-04T09:41:00Z</dcterms:created>
  <dcterms:modified xsi:type="dcterms:W3CDTF">2017-03-04T09:48:00Z</dcterms:modified>
</cp:coreProperties>
</file>